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10"/>
              </w:rPr>
            </w:pPr>
          </w:p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30"/>
              </w:rPr>
              <w:t xml:space="preserve">HZN/TO 172, </w:t>
            </w:r>
            <w:r>
              <w:rPr>
                <w:rFonts w:ascii="Arial" w:hAnsi="Arial" w:cs="Arial"/>
                <w:b/>
                <w:i/>
                <w:sz w:val="30"/>
              </w:rPr>
              <w:t>Optika i optički instrumenti</w:t>
            </w:r>
          </w:p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10"/>
              </w:rPr>
            </w:pPr>
          </w:p>
        </w:tc>
      </w:tr>
    </w:tbl>
    <w:p w:rsidR="002049EF" w:rsidRDefault="002049EF" w:rsidP="00E23ADD">
      <w:pPr>
        <w:tabs>
          <w:tab w:val="left" w:pos="2126"/>
        </w:tabs>
        <w:rPr>
          <w:rFonts w:ascii="Arial" w:hAnsi="Arial" w:cs="Arial"/>
          <w:b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268"/>
        <w:gridCol w:w="7201"/>
      </w:tblGrid>
      <w:tr w:rsidR="00E23ADD" w:rsidRPr="00E23ADD" w:rsidTr="00E23ADD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</w:tcPr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Područje:</w:t>
            </w:r>
          </w:p>
        </w:tc>
        <w:tc>
          <w:tcPr>
            <w:tcW w:w="7201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</w:rPr>
              <w:t>OSNOVNE NORME</w:t>
            </w:r>
          </w:p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</w:p>
        </w:tc>
      </w:tr>
      <w:tr w:rsidR="00E23ADD" w:rsidRPr="00E23ADD" w:rsidTr="00E23ADD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</w:tcPr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Predsjednik:</w:t>
            </w:r>
          </w:p>
        </w:tc>
        <w:tc>
          <w:tcPr>
            <w:tcW w:w="7201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</w:rPr>
              <w:t xml:space="preserve"> prof.dr.sc. BARKOVIĆ ĐURO, </w:t>
            </w:r>
            <w:proofErr w:type="spellStart"/>
            <w:r>
              <w:rPr>
                <w:rFonts w:ascii="Arial" w:hAnsi="Arial" w:cs="Arial"/>
                <w:sz w:val="22"/>
              </w:rPr>
              <w:t>dipl.ing</w:t>
            </w:r>
            <w:proofErr w:type="spellEnd"/>
            <w:r>
              <w:rPr>
                <w:rFonts w:ascii="Arial" w:hAnsi="Arial" w:cs="Arial"/>
                <w:sz w:val="22"/>
              </w:rPr>
              <w:t>.,  GEODETSKI FAKULTET SVEUČILIŠTA U ZAGREBU, Zagreb, A. Kačića-Miošića 26</w:t>
            </w:r>
          </w:p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</w:p>
        </w:tc>
      </w:tr>
      <w:tr w:rsidR="00E23ADD" w:rsidRPr="00E23ADD" w:rsidTr="00E23ADD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Tehnički tajnik:</w:t>
            </w:r>
          </w:p>
        </w:tc>
        <w:tc>
          <w:tcPr>
            <w:tcW w:w="7201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</w:rPr>
              <w:t xml:space="preserve">Mirela </w:t>
            </w:r>
            <w:proofErr w:type="spellStart"/>
            <w:r>
              <w:rPr>
                <w:rFonts w:ascii="Arial" w:hAnsi="Arial" w:cs="Arial"/>
                <w:sz w:val="22"/>
              </w:rPr>
              <w:t>Šiprak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dipl.novinar</w:t>
            </w:r>
            <w:proofErr w:type="spellEnd"/>
            <w:r>
              <w:rPr>
                <w:rFonts w:ascii="Arial" w:hAnsi="Arial" w:cs="Arial"/>
                <w:sz w:val="22"/>
              </w:rPr>
              <w:t>, HRVATSKI ZAVOD ZA NORME, Zagreb, Ulica grada Vukovara 78</w:t>
            </w:r>
          </w:p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10"/>
              </w:rPr>
            </w:pPr>
          </w:p>
        </w:tc>
      </w:tr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Datum osnivanja:</w:t>
            </w:r>
          </w:p>
        </w:tc>
        <w:tc>
          <w:tcPr>
            <w:tcW w:w="7201" w:type="dxa"/>
            <w:shd w:val="clear" w:color="auto" w:fill="auto"/>
          </w:tcPr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1994-04-26</w:t>
            </w:r>
          </w:p>
        </w:tc>
      </w:tr>
    </w:tbl>
    <w:p w:rsidR="00E23ADD" w:rsidRDefault="00E23ADD" w:rsidP="00E23ADD">
      <w:pPr>
        <w:tabs>
          <w:tab w:val="left" w:pos="2126"/>
        </w:tabs>
        <w:rPr>
          <w:rFonts w:ascii="Arial" w:hAnsi="Arial" w:cs="Arial"/>
          <w:b/>
          <w:sz w:val="22"/>
        </w:rPr>
      </w:pPr>
    </w:p>
    <w:tbl>
      <w:tblPr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Područje rada: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Priprema norma za nazivlje, zahtjeve i postupke ispitivanja u području optike. To uključuje cjelovite sustave, naprave, optičke dijelove, pomoćne naprave i dodatke te materijale.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Izuzima se: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normiranje posebnih stavki u području kinematografije, fotografije, štitnika za oči, </w:t>
      </w:r>
      <w:proofErr w:type="spellStart"/>
      <w:r>
        <w:rPr>
          <w:rFonts w:ascii="Arial" w:hAnsi="Arial" w:cs="Arial"/>
          <w:sz w:val="22"/>
        </w:rPr>
        <w:t>mikrografije</w:t>
      </w:r>
      <w:proofErr w:type="spellEnd"/>
      <w:r>
        <w:rPr>
          <w:rFonts w:ascii="Arial" w:hAnsi="Arial" w:cs="Arial"/>
          <w:sz w:val="22"/>
        </w:rPr>
        <w:t>, optičkih vlakanaca za telekomunikaciju i električne sigurnosti optičkih instrumenata.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</w:p>
    <w:tbl>
      <w:tblPr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Odgovarajući međunarodni odbori: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ISO/TC 172, </w:t>
      </w:r>
      <w:proofErr w:type="spellStart"/>
      <w:r>
        <w:rPr>
          <w:rFonts w:ascii="Arial" w:hAnsi="Arial" w:cs="Arial"/>
          <w:sz w:val="22"/>
        </w:rPr>
        <w:t>Optics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photonics</w:t>
      </w:r>
      <w:proofErr w:type="spellEnd"/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ISO/TC 172/SC 9, </w:t>
      </w:r>
      <w:proofErr w:type="spellStart"/>
      <w:r>
        <w:rPr>
          <w:rFonts w:ascii="Arial" w:hAnsi="Arial" w:cs="Arial"/>
          <w:sz w:val="22"/>
        </w:rPr>
        <w:t>Optics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photonics</w:t>
      </w:r>
      <w:proofErr w:type="spellEnd"/>
      <w:r>
        <w:rPr>
          <w:rFonts w:ascii="Arial" w:hAnsi="Arial" w:cs="Arial"/>
          <w:sz w:val="22"/>
        </w:rPr>
        <w:t xml:space="preserve">; </w:t>
      </w:r>
      <w:proofErr w:type="spellStart"/>
      <w:r>
        <w:rPr>
          <w:rFonts w:ascii="Arial" w:hAnsi="Arial" w:cs="Arial"/>
          <w:sz w:val="22"/>
        </w:rPr>
        <w:t>Electro</w:t>
      </w:r>
      <w:proofErr w:type="spellEnd"/>
      <w:r>
        <w:rPr>
          <w:rFonts w:ascii="Arial" w:hAnsi="Arial" w:cs="Arial"/>
          <w:sz w:val="22"/>
        </w:rPr>
        <w:t>-</w:t>
      </w:r>
      <w:proofErr w:type="spellStart"/>
      <w:r>
        <w:rPr>
          <w:rFonts w:ascii="Arial" w:hAnsi="Arial" w:cs="Arial"/>
          <w:sz w:val="22"/>
        </w:rPr>
        <w:t>optical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systems</w:t>
      </w:r>
      <w:proofErr w:type="spellEnd"/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Odgovarajući europski odbori: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CEN/TC 170, </w:t>
      </w:r>
      <w:proofErr w:type="spellStart"/>
      <w:r>
        <w:rPr>
          <w:rFonts w:ascii="Arial" w:hAnsi="Arial" w:cs="Arial"/>
          <w:sz w:val="22"/>
        </w:rPr>
        <w:t>Ophthalmic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optics</w:t>
      </w:r>
      <w:proofErr w:type="spellEnd"/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CEN/TC 123, </w:t>
      </w:r>
      <w:proofErr w:type="spellStart"/>
      <w:r>
        <w:rPr>
          <w:rFonts w:ascii="Arial" w:hAnsi="Arial" w:cs="Arial"/>
          <w:sz w:val="22"/>
        </w:rPr>
        <w:t>Lasers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photonics</w:t>
      </w:r>
      <w:proofErr w:type="spellEnd"/>
    </w:p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E23ADD" w:rsidRPr="00E23ADD" w:rsidTr="00E23ADD">
        <w:tblPrEx>
          <w:tblCellMar>
            <w:top w:w="0" w:type="dxa"/>
            <w:bottom w:w="0" w:type="dxa"/>
          </w:tblCellMar>
        </w:tblPrEx>
        <w:tc>
          <w:tcPr>
            <w:tcW w:w="4820" w:type="dxa"/>
            <w:shd w:val="clear" w:color="auto" w:fill="auto"/>
          </w:tcPr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Članstvo u međunarodnim odborima:</w:t>
            </w:r>
          </w:p>
        </w:tc>
        <w:tc>
          <w:tcPr>
            <w:tcW w:w="4820" w:type="dxa"/>
            <w:shd w:val="clear" w:color="auto" w:fill="auto"/>
          </w:tcPr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Članstvo u europskim odborima:</w:t>
            </w:r>
          </w:p>
        </w:tc>
      </w:tr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4820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ISO/TC 172 (O)</w:t>
            </w:r>
          </w:p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ISO/TC 172/SC 9 (O)</w:t>
            </w:r>
          </w:p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CEN/TC 170 (M)</w:t>
            </w:r>
          </w:p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CEN/TC 123 (M)</w:t>
            </w:r>
          </w:p>
          <w:p w:rsidR="00E23ADD" w:rsidRP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E23ADD" w:rsidRDefault="00E23ADD" w:rsidP="00E23ADD">
      <w:pPr>
        <w:tabs>
          <w:tab w:val="left" w:pos="2126"/>
        </w:tabs>
        <w:rPr>
          <w:rFonts w:ascii="Arial" w:hAnsi="Arial" w:cs="Arial"/>
          <w:sz w:val="22"/>
        </w:rPr>
      </w:pPr>
    </w:p>
    <w:tbl>
      <w:tblPr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23ADD" w:rsidTr="00E23ADD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auto"/>
          </w:tcPr>
          <w:p w:rsidR="00E23ADD" w:rsidRDefault="00E23ADD" w:rsidP="00E23ADD">
            <w:pPr>
              <w:tabs>
                <w:tab w:val="left" w:pos="2126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E23ADD" w:rsidRDefault="00E23ADD" w:rsidP="00E23ADD">
      <w:pPr>
        <w:tabs>
          <w:tab w:val="left" w:pos="2126"/>
        </w:tabs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Pododbori i radne skupine:</w:t>
      </w:r>
    </w:p>
    <w:p w:rsidR="00E23ADD" w:rsidRDefault="00E23ADD" w:rsidP="00E23ADD">
      <w:pPr>
        <w:tabs>
          <w:tab w:val="left" w:pos="2126"/>
        </w:tabs>
        <w:rPr>
          <w:rFonts w:ascii="Arial" w:hAnsi="Arial" w:cs="Arial"/>
          <w:i/>
          <w:sz w:val="22"/>
        </w:rPr>
      </w:pPr>
    </w:p>
    <w:p w:rsidR="00E23ADD" w:rsidRDefault="00E23ADD" w:rsidP="00E23ADD">
      <w:pPr>
        <w:tabs>
          <w:tab w:val="left" w:pos="2126"/>
        </w:tabs>
        <w:rPr>
          <w:rFonts w:ascii="Arial" w:hAnsi="Arial" w:cs="Arial"/>
          <w:i/>
          <w:sz w:val="22"/>
        </w:rPr>
      </w:pPr>
    </w:p>
    <w:p w:rsidR="00E23ADD" w:rsidRPr="00E23ADD" w:rsidRDefault="00E23ADD" w:rsidP="00E23ADD">
      <w:pPr>
        <w:tabs>
          <w:tab w:val="left" w:pos="2126"/>
        </w:tabs>
        <w:rPr>
          <w:rFonts w:ascii="Arial" w:hAnsi="Arial" w:cs="Arial"/>
          <w:i/>
          <w:sz w:val="22"/>
        </w:rPr>
      </w:pPr>
      <w:bookmarkStart w:id="0" w:name="_GoBack"/>
      <w:bookmarkEnd w:id="0"/>
    </w:p>
    <w:sectPr w:rsidR="00E23ADD" w:rsidRPr="00E2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DD"/>
    <w:rsid w:val="002049EF"/>
    <w:rsid w:val="00603F82"/>
    <w:rsid w:val="00E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8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03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3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F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3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3F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3F8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3F82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3F82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3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3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3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F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3F82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3F82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3F82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3F82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3F82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3F82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603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03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3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603F82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603F82"/>
    <w:rPr>
      <w:b/>
      <w:bCs/>
    </w:rPr>
  </w:style>
  <w:style w:type="character" w:styleId="Istaknuto">
    <w:name w:val="Emphasis"/>
    <w:basedOn w:val="Zadanifontodlomka"/>
    <w:uiPriority w:val="20"/>
    <w:qFormat/>
    <w:rsid w:val="00603F82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603F82"/>
    <w:rPr>
      <w:szCs w:val="32"/>
    </w:rPr>
  </w:style>
  <w:style w:type="paragraph" w:styleId="Odlomakpopisa">
    <w:name w:val="List Paragraph"/>
    <w:basedOn w:val="Normal"/>
    <w:uiPriority w:val="34"/>
    <w:qFormat/>
    <w:rsid w:val="00603F8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03F82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603F82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3F82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3F82"/>
    <w:rPr>
      <w:b/>
      <w:i/>
      <w:sz w:val="24"/>
    </w:rPr>
  </w:style>
  <w:style w:type="character" w:styleId="Neupadljivoisticanje">
    <w:name w:val="Subtle Emphasis"/>
    <w:uiPriority w:val="19"/>
    <w:qFormat/>
    <w:rsid w:val="00603F82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603F82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603F82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603F82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603F82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03F8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8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03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3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F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3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3F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3F8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3F82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3F82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3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3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3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F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3F82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3F82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3F82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3F82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3F82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3F82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603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03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3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603F82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603F82"/>
    <w:rPr>
      <w:b/>
      <w:bCs/>
    </w:rPr>
  </w:style>
  <w:style w:type="character" w:styleId="Istaknuto">
    <w:name w:val="Emphasis"/>
    <w:basedOn w:val="Zadanifontodlomka"/>
    <w:uiPriority w:val="20"/>
    <w:qFormat/>
    <w:rsid w:val="00603F82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603F82"/>
    <w:rPr>
      <w:szCs w:val="32"/>
    </w:rPr>
  </w:style>
  <w:style w:type="paragraph" w:styleId="Odlomakpopisa">
    <w:name w:val="List Paragraph"/>
    <w:basedOn w:val="Normal"/>
    <w:uiPriority w:val="34"/>
    <w:qFormat/>
    <w:rsid w:val="00603F8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03F82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603F82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3F82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3F82"/>
    <w:rPr>
      <w:b/>
      <w:i/>
      <w:sz w:val="24"/>
    </w:rPr>
  </w:style>
  <w:style w:type="character" w:styleId="Neupadljivoisticanje">
    <w:name w:val="Subtle Emphasis"/>
    <w:uiPriority w:val="19"/>
    <w:qFormat/>
    <w:rsid w:val="00603F82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603F82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603F82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603F82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603F82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03F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Šiprak</dc:creator>
  <cp:lastModifiedBy>Mirela Šiprak</cp:lastModifiedBy>
  <cp:revision>1</cp:revision>
  <dcterms:created xsi:type="dcterms:W3CDTF">2017-03-29T11:47:00Z</dcterms:created>
  <dcterms:modified xsi:type="dcterms:W3CDTF">2017-03-29T11:48:00Z</dcterms:modified>
</cp:coreProperties>
</file>